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当前钢材涨价对钢结构企业生产经营影响的调研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针对当前部分钢结构企业反映钢材市场价格持续上涨情况，为全面了解建筑用钢材料价格上涨带来的经营困难和市场风险，研究出相应对策，积极向国家有关部门反映企业诉求，</w:t>
      </w:r>
      <w:r>
        <w:rPr>
          <w:rStyle w:val="6"/>
          <w:rFonts w:hint="eastAsia" w:cs="宋体"/>
          <w:color w:val="000000" w:themeColor="text1"/>
          <w:sz w:val="28"/>
          <w:szCs w:val="28"/>
          <w:rtl w:val="0"/>
          <w:lang w:val="en-US" w:eastAsia="zh-CN"/>
        </w:rPr>
        <w:t>山西省钢结构协会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特请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各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会员单位对近期建筑用钢价格上涨和对企业生产经营影响情况进行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调研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请各会员单位认真填写问卷内容，并于</w:t>
      </w:r>
      <w:r>
        <w:rPr>
          <w:rStyle w:val="6"/>
          <w:rFonts w:hint="eastAsia" w:ascii="宋体" w:hAnsi="宋体" w:eastAsia="宋体" w:cs="宋体"/>
          <w:b/>
          <w:bCs/>
          <w:color w:val="000000" w:themeColor="text1"/>
          <w:sz w:val="28"/>
          <w:szCs w:val="28"/>
          <w:u w:val="single"/>
          <w:rtl w:val="0"/>
          <w:lang w:val="en-US" w:eastAsia="zh-CN"/>
        </w:rPr>
        <w:t>1月25日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前发到</w:t>
      </w:r>
      <w:r>
        <w:rPr>
          <w:rStyle w:val="6"/>
          <w:rFonts w:hint="eastAsia" w:cs="宋体"/>
          <w:color w:val="000000" w:themeColor="text1"/>
          <w:sz w:val="28"/>
          <w:szCs w:val="28"/>
          <w:rtl w:val="0"/>
          <w:lang w:val="en-US" w:eastAsia="zh-CN"/>
        </w:rPr>
        <w:t>协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会邮箱：</w:t>
      </w:r>
      <w:r>
        <w:rPr>
          <w:rStyle w:val="6"/>
          <w:rFonts w:hint="eastAsia" w:cs="宋体"/>
          <w:color w:val="000000" w:themeColor="text1"/>
          <w:sz w:val="28"/>
          <w:szCs w:val="28"/>
          <w:rtl w:val="0"/>
          <w:lang w:val="en-US" w:eastAsia="zh-CN"/>
        </w:rPr>
        <w:t>（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fldChar w:fldCharType="begin"/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instrText xml:space="preserve"> HYPERLINK "mailto:gangwyh@163.com，联系人周瑜" </w:instrTex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sxgjgxh@126.com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 xml:space="preserve"> 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，联系人：杨林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fldChar w:fldCharType="end"/>
      </w:r>
      <w:r>
        <w:rPr>
          <w:rStyle w:val="6"/>
          <w:rFonts w:hint="eastAsia" w:cs="宋体"/>
          <w:color w:val="000000" w:themeColor="text1"/>
          <w:sz w:val="28"/>
          <w:szCs w:val="28"/>
          <w:rtl w:val="0"/>
          <w:lang w:val="en-US" w:eastAsia="zh-CN"/>
        </w:rPr>
        <w:t xml:space="preserve"> 13753194417）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。</w:t>
      </w:r>
      <w:bookmarkStart w:id="0" w:name="_GoBack"/>
      <w:bookmarkEnd w:id="0"/>
    </w:p>
    <w:tbl>
      <w:tblPr>
        <w:tblStyle w:val="5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044"/>
        <w:gridCol w:w="2553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企业名称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所在地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年生产规模（万吨/年）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>联系邮箱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年产值（亿元）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>联系人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</w:pPr>
          </w:p>
        </w:tc>
        <w:tc>
          <w:tcPr>
            <w:tcW w:w="25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>联系电话</w:t>
            </w:r>
          </w:p>
        </w:tc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>企业类型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 xml:space="preserve">国企  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 xml:space="preserve">民企  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  <w:lang w:val="en-US" w:eastAsia="zh-CN"/>
              </w:rPr>
              <w:t xml:space="preserve">合资  </w:t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其他 _________________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、企业在建或承接工程主要原材料的品种、型号、规格情况分析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75" w:beforeAutospacing="0" w:after="75" w:afterAutospacing="0" w:line="360" w:lineRule="auto"/>
        <w:ind w:left="18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（如：H、T或槽钢等型钢、板材厚度㎜，主要钢材型号Q345、Q390、Q420和Q460等分别占比多少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  <w:t>，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钢筋种类及直径等。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 xml:space="preserve">、企业生产原材料采购渠道 </w:t>
      </w:r>
    </w:p>
    <w:tbl>
      <w:tblPr>
        <w:tblStyle w:val="4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钢厂直供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钢材经销商供应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其他渠道 _________________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3、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钢结构企业采购结算方式</w:t>
      </w:r>
    </w:p>
    <w:tbl>
      <w:tblPr>
        <w:tblStyle w:val="4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现金转账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贴现支票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分期付款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sym w:font="Wingdings 2" w:char="00A3"/>
            </w:r>
            <w:r>
              <w:rPr>
                <w:rStyle w:val="6"/>
                <w:rFonts w:hint="eastAsia" w:ascii="宋体" w:hAnsi="宋体" w:eastAsia="宋体" w:cs="宋体"/>
                <w:color w:val="000000" w:themeColor="text1"/>
                <w:sz w:val="28"/>
                <w:szCs w:val="28"/>
                <w:rtl w:val="0"/>
              </w:rPr>
              <w:t>其他 _________________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、2020年涨价前钢材及原材料采购价格（根据种类分列、元/吨）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5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、2020年底涨价后钢材及原材料采购价格（根据种类分列、元/吨）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、2020年钢材价格上涨幅度（根据种类分列、元/吨），对企业生产经营造成的影响程度？对钢结构工程造价影响的幅度面有多大？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、钢结构企业所签工程合同中，对材料涨价因素的调价约定条款情况，对原材料价格、供货价格包干、可调的约定条款，可调、不可调合同的占比、调整幅度情况等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 xml:space="preserve">、钢结构企业应对钢材上涨采取的对策和措施？建设单位、总承包单位、钢结构企业对涨价带来的生产成本提高的分解和责任分担情况如何？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9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、钢材涨价对钢结构企业经营带来的困难及风险情况，如建设单位态度、工程是否延期开工、停工待料、合同履约潜在风险、违约责任处理等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 xml:space="preserve">、钢材价格上涨对企业总承包企业的影响和冲击有多大？带来的工程造价增加幅度是多少？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1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color w:val="000000" w:themeColor="text1"/>
          <w:sz w:val="28"/>
          <w:szCs w:val="28"/>
          <w:rtl w:val="0"/>
        </w:rPr>
        <w:t>、钢结构企业对当前钢材涨价的原因分析？有何意见和建议等。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eastAsia="宋体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4" w:line="288" w:lineRule="auto"/>
        <w:ind w:left="100" w:right="104" w:firstLine="568"/>
        <w:jc w:val="left"/>
        <w:textAlignment w:val="auto"/>
        <w:rPr>
          <w:rFonts w:ascii="宋体" w:hAnsi="宋体" w:eastAsia="宋体" w:cs="宋体"/>
          <w:spacing w:val="-6"/>
          <w:sz w:val="30"/>
          <w:szCs w:val="30"/>
          <w:lang w:val="zh-CN" w:eastAsia="zh-CN" w:bidi="zh-CN"/>
        </w:rPr>
      </w:pPr>
    </w:p>
    <w:p>
      <w:pPr>
        <w:pStyle w:val="3"/>
        <w:ind w:left="6450"/>
        <w:rPr>
          <w:sz w:val="20"/>
        </w:rPr>
      </w:pPr>
    </w:p>
    <w:sectPr>
      <w:type w:val="continuous"/>
      <w:pgSz w:w="11910" w:h="16840"/>
      <w:pgMar w:top="1560" w:right="100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A8E35E2"/>
    <w:rsid w:val="40AB5C55"/>
    <w:rsid w:val="597D6E77"/>
    <w:rsid w:val="5A1D5562"/>
    <w:rsid w:val="5D287238"/>
    <w:rsid w:val="727078CF"/>
    <w:rsid w:val="77F7058D"/>
    <w:rsid w:val="7F141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100" w:right="38" w:hanging="1083"/>
      <w:outlineLvl w:val="1"/>
    </w:pPr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1230</Words>
  <Characters>1645</Characters>
  <TotalTime>0</TotalTime>
  <ScaleCrop>false</ScaleCrop>
  <LinksUpToDate>false</LinksUpToDate>
  <CharactersWithSpaces>1675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2020-06-30T01:02:00Z</dcterms:created>
  <dc:creator>ASUS</dc:creator>
  <cp:lastModifiedBy>木易 木木</cp:lastModifiedBy>
  <dcterms:modified xsi:type="dcterms:W3CDTF">2021-01-20T07:37:29Z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2020-06-30T00:00:00Z</vt:filetime>
  </property>
  <property fmtid="{D5CDD505-2E9C-101B-9397-08002B2CF9AE}" pid="5" name="KSOProductBuildVer">
    <vt:lpwstr>2052-11.1.0.10314</vt:lpwstr>
  </property>
</Properties>
</file>