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b/>
          <w:sz w:val="32"/>
          <w:szCs w:val="32"/>
          <w:lang w:val="en-US" w:eastAsia="zh-CN"/>
        </w:rPr>
      </w:pPr>
      <w:r>
        <w:rPr>
          <w:rFonts w:hint="eastAsia" w:asciiTheme="minorEastAsia" w:hAnsiTheme="minorEastAsia"/>
          <w:b/>
          <w:sz w:val="32"/>
          <w:szCs w:val="32"/>
          <w:lang w:val="en-US" w:eastAsia="zh-CN"/>
        </w:rPr>
        <w:t>附件二</w:t>
      </w:r>
      <w:bookmarkStart w:id="0" w:name="_GoBack"/>
      <w:bookmarkEnd w:id="0"/>
    </w:p>
    <w:p>
      <w:pPr>
        <w:jc w:val="center"/>
        <w:rPr>
          <w:rFonts w:asciiTheme="minorEastAsia" w:hAnsiTheme="minorEastAsia"/>
          <w:b/>
          <w:sz w:val="32"/>
          <w:szCs w:val="32"/>
        </w:rPr>
      </w:pPr>
      <w:r>
        <w:rPr>
          <w:rFonts w:hint="eastAsia" w:asciiTheme="minorEastAsia" w:hAnsiTheme="minorEastAsia"/>
          <w:b/>
          <w:sz w:val="32"/>
          <w:szCs w:val="32"/>
        </w:rPr>
        <w:t>山西省钢结构协会专家委员会工作条例</w:t>
      </w:r>
    </w:p>
    <w:p>
      <w:pPr>
        <w:jc w:val="center"/>
        <w:rPr>
          <w:rFonts w:asciiTheme="minorEastAsia" w:hAnsiTheme="minorEastAsia"/>
          <w:sz w:val="28"/>
          <w:szCs w:val="28"/>
        </w:rPr>
      </w:pPr>
      <w:r>
        <w:rPr>
          <w:rFonts w:hint="eastAsia" w:asciiTheme="minorEastAsia" w:hAnsiTheme="minorEastAsia"/>
          <w:sz w:val="28"/>
          <w:szCs w:val="28"/>
        </w:rPr>
        <w:t>第一章 总则</w:t>
      </w:r>
    </w:p>
    <w:p>
      <w:pPr>
        <w:spacing w:line="360" w:lineRule="auto"/>
        <w:jc w:val="left"/>
        <w:rPr>
          <w:rFonts w:asciiTheme="minorEastAsia" w:hAnsiTheme="minorEastAsia"/>
          <w:sz w:val="24"/>
        </w:rPr>
      </w:pPr>
      <w:r>
        <w:rPr>
          <w:rFonts w:hint="eastAsia" w:asciiTheme="minorEastAsia" w:hAnsiTheme="minorEastAsia"/>
          <w:sz w:val="24"/>
        </w:rPr>
        <w:t>第一条 山西省钢结构协会专家委员会，是钢结构行业管理、科研、教学、设计、制造、施工、监理等方面的专家和专业技术工作者组成的高层次专业技术人员组</w:t>
      </w:r>
    </w:p>
    <w:p>
      <w:pPr>
        <w:spacing w:line="360" w:lineRule="auto"/>
        <w:jc w:val="left"/>
        <w:rPr>
          <w:rFonts w:asciiTheme="minorEastAsia" w:hAnsiTheme="minorEastAsia"/>
          <w:sz w:val="24"/>
        </w:rPr>
      </w:pPr>
      <w:r>
        <w:rPr>
          <w:rFonts w:hint="eastAsia" w:asciiTheme="minorEastAsia" w:hAnsiTheme="minorEastAsia"/>
          <w:sz w:val="24"/>
        </w:rPr>
        <w:t>织。专家委员会是山西省结构协会的二级机构，在协会的领导下从事钢结构学</w:t>
      </w:r>
    </w:p>
    <w:p>
      <w:pPr>
        <w:spacing w:line="360" w:lineRule="auto"/>
        <w:jc w:val="left"/>
        <w:rPr>
          <w:rFonts w:asciiTheme="minorEastAsia" w:hAnsiTheme="minorEastAsia"/>
          <w:sz w:val="24"/>
        </w:rPr>
      </w:pPr>
      <w:r>
        <w:rPr>
          <w:rFonts w:hint="eastAsia" w:asciiTheme="minorEastAsia" w:hAnsiTheme="minorEastAsia"/>
          <w:sz w:val="24"/>
        </w:rPr>
        <w:t>术技术方面的工作。</w:t>
      </w:r>
    </w:p>
    <w:p>
      <w:pPr>
        <w:spacing w:line="360" w:lineRule="auto"/>
        <w:jc w:val="left"/>
        <w:rPr>
          <w:rFonts w:asciiTheme="minorEastAsia" w:hAnsiTheme="minorEastAsia"/>
          <w:sz w:val="24"/>
        </w:rPr>
      </w:pPr>
      <w:r>
        <w:rPr>
          <w:rFonts w:hint="eastAsia" w:asciiTheme="minorEastAsia" w:hAnsiTheme="minorEastAsia"/>
          <w:sz w:val="24"/>
        </w:rPr>
        <w:t>第二条 专家委员会的宗旨，是贯彻执行党和国家有关的方针政策，协助山西省钢结构协会实施行业管理、推动行业技术进步、开展技术咨询服务，促进山西省钢结构事业的发展和进步。</w:t>
      </w:r>
    </w:p>
    <w:p>
      <w:pPr>
        <w:jc w:val="center"/>
        <w:rPr>
          <w:rFonts w:asciiTheme="minorEastAsia" w:hAnsiTheme="minorEastAsia"/>
          <w:sz w:val="28"/>
          <w:szCs w:val="28"/>
        </w:rPr>
      </w:pPr>
      <w:r>
        <w:rPr>
          <w:rFonts w:hint="eastAsia" w:asciiTheme="minorEastAsia" w:hAnsiTheme="minorEastAsia"/>
          <w:sz w:val="28"/>
          <w:szCs w:val="28"/>
        </w:rPr>
        <w:t>第二章 工作范围</w:t>
      </w:r>
    </w:p>
    <w:p>
      <w:pPr>
        <w:spacing w:line="360" w:lineRule="auto"/>
        <w:jc w:val="left"/>
        <w:rPr>
          <w:rFonts w:asciiTheme="minorEastAsia" w:hAnsiTheme="minorEastAsia"/>
          <w:sz w:val="24"/>
        </w:rPr>
      </w:pPr>
      <w:r>
        <w:rPr>
          <w:rFonts w:hint="eastAsia" w:asciiTheme="minorEastAsia" w:hAnsiTheme="minorEastAsia"/>
          <w:sz w:val="24"/>
        </w:rPr>
        <w:t>第三条 专家委员会工作范围</w:t>
      </w:r>
    </w:p>
    <w:p>
      <w:pPr>
        <w:spacing w:line="360" w:lineRule="auto"/>
        <w:jc w:val="left"/>
        <w:rPr>
          <w:rFonts w:asciiTheme="minorEastAsia" w:hAnsiTheme="minorEastAsia"/>
          <w:sz w:val="24"/>
        </w:rPr>
      </w:pPr>
      <w:r>
        <w:rPr>
          <w:rFonts w:hint="eastAsia" w:asciiTheme="minorEastAsia" w:hAnsiTheme="minorEastAsia"/>
          <w:sz w:val="24"/>
        </w:rPr>
        <w:t>1.向协会反映问题和提出建议，供决策参考；</w:t>
      </w:r>
    </w:p>
    <w:p>
      <w:pPr>
        <w:spacing w:line="360" w:lineRule="auto"/>
        <w:jc w:val="left"/>
        <w:rPr>
          <w:rFonts w:asciiTheme="minorEastAsia" w:hAnsiTheme="minorEastAsia"/>
          <w:sz w:val="24"/>
        </w:rPr>
      </w:pPr>
      <w:r>
        <w:rPr>
          <w:rFonts w:hint="eastAsia" w:asciiTheme="minorEastAsia" w:hAnsiTheme="minorEastAsia"/>
          <w:sz w:val="24"/>
        </w:rPr>
        <w:t>2.积极开展研发活动，协助办理科研立项、组织课题攻关，、推广先进技术等；</w:t>
      </w:r>
    </w:p>
    <w:p>
      <w:pPr>
        <w:spacing w:line="360" w:lineRule="auto"/>
        <w:jc w:val="left"/>
        <w:rPr>
          <w:rFonts w:asciiTheme="minorEastAsia" w:hAnsiTheme="minorEastAsia"/>
          <w:sz w:val="24"/>
        </w:rPr>
      </w:pPr>
      <w:r>
        <w:rPr>
          <w:rFonts w:hint="eastAsia" w:asciiTheme="minorEastAsia" w:hAnsiTheme="minorEastAsia"/>
          <w:sz w:val="24"/>
        </w:rPr>
        <w:t>3.承担有关部门委托的专业技术咨询和服务工作，如技术成果鉴定、方案评审、设计审查、工程质量、工程事故鉴定等；</w:t>
      </w:r>
    </w:p>
    <w:p>
      <w:pPr>
        <w:spacing w:line="360" w:lineRule="auto"/>
        <w:jc w:val="left"/>
        <w:rPr>
          <w:rFonts w:asciiTheme="minorEastAsia" w:hAnsiTheme="minorEastAsia"/>
          <w:sz w:val="24"/>
        </w:rPr>
      </w:pPr>
      <w:r>
        <w:rPr>
          <w:rFonts w:hint="eastAsia" w:asciiTheme="minorEastAsia" w:hAnsiTheme="minorEastAsia"/>
          <w:sz w:val="24"/>
        </w:rPr>
        <w:t>4.组织协会技术标准的编制、修订工作，积极组织编写(或翻译)出版技术资料，</w:t>
      </w:r>
    </w:p>
    <w:p>
      <w:pPr>
        <w:spacing w:line="360" w:lineRule="auto"/>
        <w:jc w:val="left"/>
        <w:rPr>
          <w:rFonts w:asciiTheme="minorEastAsia" w:hAnsiTheme="minorEastAsia"/>
          <w:sz w:val="24"/>
        </w:rPr>
      </w:pPr>
      <w:r>
        <w:rPr>
          <w:rFonts w:hint="eastAsia" w:asciiTheme="minorEastAsia" w:hAnsiTheme="minorEastAsia"/>
          <w:sz w:val="24"/>
        </w:rPr>
        <w:t>组织重大工程的专题技术交流</w:t>
      </w:r>
    </w:p>
    <w:p>
      <w:pPr>
        <w:spacing w:line="360" w:lineRule="auto"/>
        <w:jc w:val="left"/>
        <w:rPr>
          <w:rFonts w:asciiTheme="minorEastAsia" w:hAnsiTheme="minorEastAsia"/>
          <w:sz w:val="24"/>
        </w:rPr>
      </w:pPr>
      <w:r>
        <w:rPr>
          <w:rFonts w:hint="eastAsia" w:asciiTheme="minorEastAsia" w:hAnsiTheme="minorEastAsia"/>
          <w:sz w:val="24"/>
        </w:rPr>
        <w:t>5.主动引领行业健康发展，积极开展国际和国内交流活动。</w:t>
      </w:r>
    </w:p>
    <w:p>
      <w:pPr>
        <w:jc w:val="center"/>
        <w:rPr>
          <w:rFonts w:asciiTheme="minorEastAsia" w:hAnsiTheme="minorEastAsia"/>
          <w:sz w:val="28"/>
          <w:szCs w:val="28"/>
        </w:rPr>
      </w:pPr>
      <w:r>
        <w:rPr>
          <w:rFonts w:hint="eastAsia" w:asciiTheme="minorEastAsia" w:hAnsiTheme="minorEastAsia"/>
          <w:sz w:val="28"/>
          <w:szCs w:val="28"/>
        </w:rPr>
        <w:t>第三章 组织机构</w:t>
      </w:r>
    </w:p>
    <w:p>
      <w:pPr>
        <w:spacing w:line="360" w:lineRule="auto"/>
        <w:jc w:val="left"/>
        <w:rPr>
          <w:rFonts w:asciiTheme="minorEastAsia" w:hAnsiTheme="minorEastAsia"/>
          <w:sz w:val="24"/>
        </w:rPr>
      </w:pPr>
      <w:r>
        <w:rPr>
          <w:rFonts w:hint="eastAsia" w:asciiTheme="minorEastAsia" w:hAnsiTheme="minorEastAsia"/>
          <w:sz w:val="24"/>
        </w:rPr>
        <w:t>第四条 专家委员会设主任一名；副主任若干名；秘书长一名；</w:t>
      </w:r>
    </w:p>
    <w:p>
      <w:pPr>
        <w:spacing w:line="360" w:lineRule="auto"/>
        <w:jc w:val="left"/>
        <w:rPr>
          <w:rFonts w:asciiTheme="minorEastAsia" w:hAnsiTheme="minorEastAsia"/>
          <w:sz w:val="24"/>
        </w:rPr>
      </w:pPr>
      <w:r>
        <w:rPr>
          <w:rFonts w:hint="eastAsia" w:asciiTheme="minorEastAsia" w:hAnsiTheme="minorEastAsia"/>
          <w:sz w:val="24"/>
        </w:rPr>
        <w:t>第五条 主任、副主任、秘书长由山西省钢结构协会常务理事会提名推荐，经山西省钢结构协会考核聘用。主任、副主任可连任两届。</w:t>
      </w:r>
    </w:p>
    <w:p>
      <w:pPr>
        <w:spacing w:line="360" w:lineRule="auto"/>
        <w:jc w:val="left"/>
        <w:rPr>
          <w:rFonts w:asciiTheme="minorEastAsia" w:hAnsiTheme="minorEastAsia"/>
          <w:sz w:val="24"/>
        </w:rPr>
      </w:pPr>
      <w:r>
        <w:rPr>
          <w:rFonts w:hint="eastAsia" w:asciiTheme="minorEastAsia" w:hAnsiTheme="minorEastAsia"/>
          <w:sz w:val="24"/>
        </w:rPr>
        <w:t>第六条 每年召开一次专家委员会全体委员工作会议暨技术研讨会议，根据行业</w:t>
      </w:r>
    </w:p>
    <w:p>
      <w:pPr>
        <w:spacing w:line="360" w:lineRule="auto"/>
        <w:jc w:val="left"/>
        <w:rPr>
          <w:rFonts w:asciiTheme="minorEastAsia" w:hAnsiTheme="minorEastAsia"/>
          <w:sz w:val="24"/>
        </w:rPr>
      </w:pPr>
      <w:r>
        <w:rPr>
          <w:rFonts w:hint="eastAsia" w:asciiTheme="minorEastAsia" w:hAnsiTheme="minorEastAsia"/>
          <w:sz w:val="24"/>
        </w:rPr>
        <w:t>需求召开专题交流会。</w:t>
      </w:r>
    </w:p>
    <w:p>
      <w:pPr>
        <w:spacing w:line="360" w:lineRule="auto"/>
        <w:jc w:val="left"/>
        <w:rPr>
          <w:rFonts w:asciiTheme="minorEastAsia" w:hAnsiTheme="minorEastAsia"/>
          <w:sz w:val="24"/>
        </w:rPr>
      </w:pPr>
      <w:r>
        <w:rPr>
          <w:rFonts w:hint="eastAsia" w:asciiTheme="minorEastAsia" w:hAnsiTheme="minorEastAsia"/>
          <w:sz w:val="24"/>
        </w:rPr>
        <w:t>第七条 专家委员会根据专业特点分别设立若干专业组开展各项工作。</w:t>
      </w:r>
    </w:p>
    <w:p>
      <w:pPr>
        <w:jc w:val="center"/>
        <w:rPr>
          <w:rFonts w:asciiTheme="minorEastAsia" w:hAnsiTheme="minorEastAsia"/>
          <w:sz w:val="28"/>
          <w:szCs w:val="28"/>
        </w:rPr>
      </w:pPr>
      <w:r>
        <w:rPr>
          <w:rFonts w:hint="eastAsia" w:asciiTheme="minorEastAsia" w:hAnsiTheme="minorEastAsia"/>
          <w:sz w:val="28"/>
          <w:szCs w:val="28"/>
        </w:rPr>
        <w:t>第四章 受聘专家条件</w:t>
      </w:r>
    </w:p>
    <w:p>
      <w:pPr>
        <w:spacing w:line="360" w:lineRule="auto"/>
        <w:jc w:val="left"/>
        <w:rPr>
          <w:rFonts w:asciiTheme="minorEastAsia" w:hAnsiTheme="minorEastAsia"/>
          <w:sz w:val="24"/>
        </w:rPr>
      </w:pPr>
      <w:r>
        <w:rPr>
          <w:rFonts w:hint="eastAsia" w:asciiTheme="minorEastAsia" w:hAnsiTheme="minorEastAsia"/>
          <w:sz w:val="24"/>
        </w:rPr>
        <w:t>第八条 专家委员会的成员应热爱协会工作并积极参加协会活动，廉洁自律、客</w:t>
      </w:r>
    </w:p>
    <w:p>
      <w:pPr>
        <w:spacing w:line="360" w:lineRule="auto"/>
        <w:jc w:val="left"/>
        <w:rPr>
          <w:rFonts w:asciiTheme="minorEastAsia" w:hAnsiTheme="minorEastAsia"/>
          <w:sz w:val="24"/>
        </w:rPr>
      </w:pPr>
      <w:r>
        <w:rPr>
          <w:rFonts w:hint="eastAsia" w:asciiTheme="minorEastAsia" w:hAnsiTheme="minorEastAsia"/>
          <w:sz w:val="24"/>
        </w:rPr>
        <w:t>观公正、认真负责、治学严谨、实事求是。</w:t>
      </w:r>
    </w:p>
    <w:p>
      <w:pPr>
        <w:spacing w:line="360" w:lineRule="auto"/>
        <w:jc w:val="left"/>
        <w:rPr>
          <w:rFonts w:asciiTheme="minorEastAsia" w:hAnsiTheme="minorEastAsia"/>
          <w:sz w:val="24"/>
        </w:rPr>
      </w:pPr>
      <w:r>
        <w:rPr>
          <w:rFonts w:hint="eastAsia" w:asciiTheme="minorEastAsia" w:hAnsiTheme="minorEastAsia"/>
          <w:sz w:val="24"/>
        </w:rPr>
        <w:t>第九条 具有高级技术称或中级职称且获得国家一级注册结构、建筑、建造师，</w:t>
      </w:r>
    </w:p>
    <w:p>
      <w:pPr>
        <w:spacing w:line="360" w:lineRule="auto"/>
        <w:jc w:val="left"/>
        <w:rPr>
          <w:rFonts w:asciiTheme="minorEastAsia" w:hAnsiTheme="minorEastAsia"/>
          <w:sz w:val="24"/>
        </w:rPr>
      </w:pPr>
      <w:r>
        <w:rPr>
          <w:rFonts w:hint="eastAsia" w:asciiTheme="minorEastAsia" w:hAnsiTheme="minorEastAsia"/>
          <w:sz w:val="24"/>
        </w:rPr>
        <w:t>从事钢结构行业10年以上，同时满足以下两项条件者:</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1.钢结构方面发明专利 (排名前俩位)；</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2.钢结构方面实用新型专利(排名第一)；</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3.钢结方面省级工法(排名第一)；</w:t>
      </w:r>
    </w:p>
    <w:p>
      <w:pPr>
        <w:spacing w:line="360" w:lineRule="auto"/>
        <w:ind w:firstLine="480" w:firstLineChars="200"/>
        <w:jc w:val="left"/>
        <w:rPr>
          <w:rFonts w:asciiTheme="minorEastAsia" w:hAnsiTheme="minorEastAsia"/>
          <w:sz w:val="24"/>
        </w:rPr>
      </w:pPr>
      <w:r>
        <w:rPr>
          <w:rFonts w:asciiTheme="minorEastAsia" w:hAnsiTheme="minorEastAsia"/>
          <w:sz w:val="24"/>
        </w:rPr>
        <w:t>4</w:t>
      </w:r>
      <w:r>
        <w:rPr>
          <w:rFonts w:hint="eastAsia" w:asciiTheme="minorEastAsia" w:hAnsiTheme="minorEastAsia"/>
          <w:sz w:val="24"/>
        </w:rPr>
        <w:t>.参编过钢结构方面协会标准、地标或国标；</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5.主持过大型钢结构工程的设计或施工；</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6.编写过钢结构相关论著；</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行业内表现突出的专业技术人员，经专家委员会讨论通过，也可以受聘为专</w:t>
      </w:r>
    </w:p>
    <w:p>
      <w:pPr>
        <w:spacing w:line="360" w:lineRule="auto"/>
        <w:jc w:val="left"/>
        <w:rPr>
          <w:rFonts w:asciiTheme="minorEastAsia" w:hAnsiTheme="minorEastAsia"/>
          <w:sz w:val="24"/>
        </w:rPr>
      </w:pPr>
      <w:r>
        <w:rPr>
          <w:rFonts w:hint="eastAsia" w:asciiTheme="minorEastAsia" w:hAnsiTheme="minorEastAsia"/>
          <w:sz w:val="24"/>
        </w:rPr>
        <w:t>业委员会专家。</w:t>
      </w:r>
    </w:p>
    <w:p>
      <w:pPr>
        <w:spacing w:line="360" w:lineRule="auto"/>
        <w:jc w:val="left"/>
        <w:rPr>
          <w:rFonts w:asciiTheme="minorEastAsia" w:hAnsiTheme="minorEastAsia"/>
          <w:sz w:val="24"/>
        </w:rPr>
      </w:pPr>
      <w:r>
        <w:rPr>
          <w:rFonts w:hint="eastAsia" w:asciiTheme="minorEastAsia" w:hAnsiTheme="minorEastAsia"/>
          <w:sz w:val="24"/>
        </w:rPr>
        <w:t>第十条 专家委员会成员每年发展新成员原则上不超过总数的百分之十。每位专家委员会成员每年推荐新成员不超过二名，每年新增专家需经本人提交申请表和由现任专家二人推荐(推荐函)，并提交被推荐人员简况，工作经历，技术专长，工程业绩，技术成就和职称、注册证书(扫描件)，学历证书(扫描件)，身份证</w:t>
      </w:r>
    </w:p>
    <w:p>
      <w:pPr>
        <w:spacing w:line="360" w:lineRule="auto"/>
        <w:jc w:val="left"/>
        <w:rPr>
          <w:rFonts w:asciiTheme="minorEastAsia" w:hAnsiTheme="minorEastAsia"/>
          <w:sz w:val="24"/>
        </w:rPr>
      </w:pPr>
      <w:r>
        <w:rPr>
          <w:rFonts w:hint="eastAsia" w:asciiTheme="minorEastAsia" w:hAnsiTheme="minorEastAsia"/>
          <w:sz w:val="24"/>
        </w:rPr>
        <w:t>扫描件)等材料，经专家委员会主任扩大会议审议通过，方可成为专家委员会成员。</w:t>
      </w:r>
    </w:p>
    <w:p>
      <w:pPr>
        <w:spacing w:line="360" w:lineRule="auto"/>
        <w:jc w:val="left"/>
        <w:rPr>
          <w:rFonts w:asciiTheme="minorEastAsia" w:hAnsiTheme="minorEastAsia"/>
          <w:sz w:val="24"/>
        </w:rPr>
      </w:pPr>
      <w:r>
        <w:rPr>
          <w:rFonts w:hint="eastAsia" w:asciiTheme="minorEastAsia" w:hAnsiTheme="minorEastAsia"/>
          <w:sz w:val="24"/>
        </w:rPr>
        <w:t>新入会成员年龄应在65周岁以下，聘期为五年，期满后可根据需要续聘。</w:t>
      </w:r>
    </w:p>
    <w:p>
      <w:pPr>
        <w:spacing w:line="360" w:lineRule="auto"/>
        <w:jc w:val="left"/>
        <w:rPr>
          <w:rFonts w:asciiTheme="minorEastAsia" w:hAnsiTheme="minorEastAsia"/>
          <w:sz w:val="24"/>
        </w:rPr>
      </w:pPr>
      <w:r>
        <w:rPr>
          <w:rFonts w:hint="eastAsia" w:asciiTheme="minorEastAsia" w:hAnsiTheme="minorEastAsia"/>
          <w:sz w:val="24"/>
        </w:rPr>
        <w:t>第十一条 专家委员会委员聘期期满后，向协会常务委员会提出续聘申请，经协</w:t>
      </w:r>
    </w:p>
    <w:p>
      <w:pPr>
        <w:spacing w:line="360" w:lineRule="auto"/>
        <w:jc w:val="left"/>
        <w:rPr>
          <w:rFonts w:asciiTheme="minorEastAsia" w:hAnsiTheme="minorEastAsia"/>
          <w:sz w:val="24"/>
        </w:rPr>
      </w:pPr>
      <w:r>
        <w:rPr>
          <w:rFonts w:hint="eastAsia" w:asciiTheme="minorEastAsia" w:hAnsiTheme="minorEastAsia"/>
          <w:sz w:val="24"/>
        </w:rPr>
        <w:t>会常务委员会审议通过后续聘。</w:t>
      </w:r>
    </w:p>
    <w:p>
      <w:pPr>
        <w:spacing w:line="360" w:lineRule="auto"/>
        <w:jc w:val="left"/>
        <w:rPr>
          <w:rFonts w:asciiTheme="minorEastAsia" w:hAnsiTheme="minorEastAsia"/>
          <w:sz w:val="24"/>
        </w:rPr>
      </w:pPr>
      <w:r>
        <w:rPr>
          <w:rFonts w:hint="eastAsia" w:asciiTheme="minorEastAsia" w:hAnsiTheme="minorEastAsia"/>
          <w:sz w:val="24"/>
        </w:rPr>
        <w:t>第十二条 年满70周岁以上的专家委员会成员，根据行业工作需要，可聘请为顾</w:t>
      </w:r>
    </w:p>
    <w:p>
      <w:pPr>
        <w:spacing w:line="360" w:lineRule="auto"/>
        <w:jc w:val="left"/>
        <w:rPr>
          <w:rFonts w:asciiTheme="minorEastAsia" w:hAnsiTheme="minorEastAsia"/>
          <w:sz w:val="24"/>
        </w:rPr>
      </w:pPr>
      <w:r>
        <w:rPr>
          <w:rFonts w:hint="eastAsia" w:asciiTheme="minorEastAsia" w:hAnsiTheme="minorEastAsia"/>
          <w:sz w:val="24"/>
        </w:rPr>
        <w:t>问专家，不占总数指标。</w:t>
      </w:r>
    </w:p>
    <w:p>
      <w:pPr>
        <w:spacing w:line="360" w:lineRule="auto"/>
        <w:jc w:val="left"/>
        <w:rPr>
          <w:rFonts w:asciiTheme="minorEastAsia" w:hAnsiTheme="minorEastAsia"/>
          <w:sz w:val="24"/>
        </w:rPr>
      </w:pPr>
      <w:r>
        <w:rPr>
          <w:rFonts w:hint="eastAsia" w:asciiTheme="minorEastAsia" w:hAnsiTheme="minorEastAsia"/>
          <w:sz w:val="24"/>
        </w:rPr>
        <w:t>第十三条 专家委员会成员在任期内连续三次无正当理由不参加专家委员会活动，不愿承担相应工作的，视为自动退出，不再聘用。</w:t>
      </w:r>
    </w:p>
    <w:p>
      <w:pPr>
        <w:spacing w:line="360" w:lineRule="auto"/>
        <w:jc w:val="left"/>
        <w:rPr>
          <w:rFonts w:asciiTheme="minorEastAsia" w:hAnsiTheme="minorEastAsia"/>
          <w:sz w:val="24"/>
        </w:rPr>
      </w:pPr>
      <w:r>
        <w:rPr>
          <w:rFonts w:hint="eastAsia" w:asciiTheme="minorEastAsia" w:hAnsiTheme="minorEastAsia"/>
          <w:sz w:val="24"/>
        </w:rPr>
        <w:t>第十四条 专家委员会成员违反有关纪律、法规并造成责任事故、或弄虚作假者，</w:t>
      </w:r>
    </w:p>
    <w:p>
      <w:pPr>
        <w:spacing w:line="360" w:lineRule="auto"/>
        <w:jc w:val="left"/>
        <w:rPr>
          <w:rFonts w:asciiTheme="minorEastAsia" w:hAnsiTheme="minorEastAsia"/>
          <w:sz w:val="24"/>
        </w:rPr>
      </w:pPr>
      <w:r>
        <w:rPr>
          <w:rFonts w:hint="eastAsia" w:asciiTheme="minorEastAsia" w:hAnsiTheme="minorEastAsia"/>
          <w:sz w:val="24"/>
        </w:rPr>
        <w:t>经专家委员会审议，由山西省钢结构协会专家委员会解除其专家委员会成员资格。</w:t>
      </w:r>
    </w:p>
    <w:p>
      <w:pPr>
        <w:spacing w:line="360" w:lineRule="auto"/>
        <w:jc w:val="left"/>
        <w:rPr>
          <w:rFonts w:asciiTheme="minorEastAsia" w:hAnsiTheme="minorEastAsia"/>
          <w:sz w:val="24"/>
        </w:rPr>
      </w:pPr>
      <w:r>
        <w:rPr>
          <w:rFonts w:hint="eastAsia" w:asciiTheme="minorEastAsia" w:hAnsiTheme="minorEastAsia"/>
          <w:sz w:val="24"/>
        </w:rPr>
        <w:t>第十五条 专家委员会成员未经授权，不得以山西省钢结构协会专家委员会名义</w:t>
      </w:r>
    </w:p>
    <w:p>
      <w:pPr>
        <w:spacing w:line="360" w:lineRule="auto"/>
        <w:jc w:val="left"/>
        <w:rPr>
          <w:rFonts w:asciiTheme="minorEastAsia" w:hAnsiTheme="minorEastAsia"/>
          <w:sz w:val="24"/>
        </w:rPr>
      </w:pPr>
      <w:r>
        <w:rPr>
          <w:rFonts w:hint="eastAsia" w:asciiTheme="minorEastAsia" w:hAnsiTheme="minorEastAsia"/>
          <w:sz w:val="24"/>
        </w:rPr>
        <w:t>进行技术容询活动及其他活动。专家以个人名义出具的咨询意见和建议，独立承</w:t>
      </w:r>
    </w:p>
    <w:p>
      <w:pPr>
        <w:spacing w:line="360" w:lineRule="auto"/>
        <w:jc w:val="left"/>
        <w:rPr>
          <w:rFonts w:asciiTheme="minorEastAsia" w:hAnsiTheme="minorEastAsia"/>
          <w:sz w:val="24"/>
        </w:rPr>
      </w:pPr>
      <w:r>
        <w:rPr>
          <w:rFonts w:hint="eastAsia" w:asciiTheme="minorEastAsia" w:hAnsiTheme="minorEastAsia"/>
          <w:sz w:val="24"/>
        </w:rPr>
        <w:t>担责任。</w:t>
      </w:r>
    </w:p>
    <w:p>
      <w:pPr>
        <w:jc w:val="center"/>
        <w:rPr>
          <w:rFonts w:asciiTheme="minorEastAsia" w:hAnsiTheme="minorEastAsia"/>
          <w:sz w:val="28"/>
          <w:szCs w:val="28"/>
        </w:rPr>
      </w:pPr>
      <w:r>
        <w:rPr>
          <w:rFonts w:hint="eastAsia" w:asciiTheme="minorEastAsia" w:hAnsiTheme="minorEastAsia"/>
          <w:sz w:val="28"/>
          <w:szCs w:val="28"/>
        </w:rPr>
        <w:t>第五章权利及义务</w:t>
      </w:r>
    </w:p>
    <w:p>
      <w:pPr>
        <w:spacing w:line="360" w:lineRule="auto"/>
        <w:jc w:val="left"/>
        <w:rPr>
          <w:rFonts w:asciiTheme="minorEastAsia" w:hAnsiTheme="minorEastAsia"/>
          <w:sz w:val="24"/>
        </w:rPr>
      </w:pPr>
      <w:r>
        <w:rPr>
          <w:rFonts w:hint="eastAsia" w:asciiTheme="minorEastAsia" w:hAnsiTheme="minorEastAsia"/>
          <w:sz w:val="24"/>
        </w:rPr>
        <w:t>第十六条 经山西省钢结构协会聘用的专家，由协会颁发《山西省钢结构协会专</w:t>
      </w:r>
    </w:p>
    <w:p>
      <w:pPr>
        <w:spacing w:line="360" w:lineRule="auto"/>
        <w:jc w:val="left"/>
        <w:rPr>
          <w:rFonts w:asciiTheme="minorEastAsia" w:hAnsiTheme="minorEastAsia"/>
          <w:sz w:val="24"/>
        </w:rPr>
      </w:pPr>
      <w:r>
        <w:rPr>
          <w:rFonts w:hint="eastAsia" w:asciiTheme="minorEastAsia" w:hAnsiTheme="minorEastAsia"/>
          <w:sz w:val="24"/>
        </w:rPr>
        <w:t>家委员会委员证书》，并在协会网站向社会公布。</w:t>
      </w:r>
    </w:p>
    <w:p>
      <w:pPr>
        <w:spacing w:line="360" w:lineRule="auto"/>
        <w:jc w:val="left"/>
        <w:rPr>
          <w:rFonts w:asciiTheme="minorEastAsia" w:hAnsiTheme="minorEastAsia"/>
          <w:sz w:val="24"/>
        </w:rPr>
      </w:pPr>
      <w:r>
        <w:rPr>
          <w:rFonts w:hint="eastAsia" w:asciiTheme="minorEastAsia" w:hAnsiTheme="minorEastAsia"/>
          <w:sz w:val="24"/>
        </w:rPr>
        <w:t>第十七条 受聘专家有权参加专家委员会各项工作规划的制定，并提出意见和建</w:t>
      </w:r>
    </w:p>
    <w:p>
      <w:pPr>
        <w:spacing w:line="360" w:lineRule="auto"/>
        <w:jc w:val="left"/>
        <w:rPr>
          <w:rFonts w:asciiTheme="minorEastAsia" w:hAnsiTheme="minorEastAsia"/>
          <w:sz w:val="24"/>
        </w:rPr>
      </w:pPr>
      <w:r>
        <w:rPr>
          <w:rFonts w:hint="eastAsia" w:asciiTheme="minorEastAsia" w:hAnsiTheme="minorEastAsia"/>
          <w:sz w:val="24"/>
        </w:rPr>
        <w:t>议。</w:t>
      </w:r>
    </w:p>
    <w:p>
      <w:pPr>
        <w:spacing w:line="360" w:lineRule="auto"/>
        <w:jc w:val="left"/>
        <w:rPr>
          <w:rFonts w:asciiTheme="minorEastAsia" w:hAnsiTheme="minorEastAsia"/>
          <w:sz w:val="24"/>
        </w:rPr>
      </w:pPr>
      <w:r>
        <w:rPr>
          <w:rFonts w:hint="eastAsia" w:asciiTheme="minorEastAsia" w:hAnsiTheme="minorEastAsia"/>
          <w:sz w:val="24"/>
        </w:rPr>
        <w:t>第十八条 专家委员会根据协会组织的各类技术活动的要求，选派相应类别的专</w:t>
      </w:r>
    </w:p>
    <w:p>
      <w:pPr>
        <w:spacing w:line="360" w:lineRule="auto"/>
        <w:jc w:val="left"/>
        <w:rPr>
          <w:rFonts w:asciiTheme="minorEastAsia" w:hAnsiTheme="minorEastAsia"/>
          <w:sz w:val="24"/>
        </w:rPr>
      </w:pPr>
      <w:r>
        <w:rPr>
          <w:rFonts w:hint="eastAsia" w:asciiTheme="minorEastAsia" w:hAnsiTheme="minorEastAsia"/>
          <w:sz w:val="24"/>
        </w:rPr>
        <w:t>家参加活动。</w:t>
      </w:r>
    </w:p>
    <w:p>
      <w:pPr>
        <w:spacing w:line="360" w:lineRule="auto"/>
        <w:jc w:val="left"/>
        <w:rPr>
          <w:rFonts w:asciiTheme="minorEastAsia" w:hAnsiTheme="minorEastAsia"/>
          <w:sz w:val="24"/>
        </w:rPr>
      </w:pPr>
      <w:r>
        <w:rPr>
          <w:rFonts w:hint="eastAsia" w:asciiTheme="minorEastAsia" w:hAnsiTheme="minorEastAsia"/>
          <w:sz w:val="24"/>
        </w:rPr>
        <w:t>第十九条 受聘专家有向协会网站、杂志(含论文集)、会刊提供技术及管理方</w:t>
      </w:r>
    </w:p>
    <w:p>
      <w:pPr>
        <w:spacing w:line="360" w:lineRule="auto"/>
        <w:jc w:val="left"/>
        <w:rPr>
          <w:rFonts w:asciiTheme="minorEastAsia" w:hAnsiTheme="minorEastAsia"/>
          <w:sz w:val="24"/>
        </w:rPr>
      </w:pPr>
      <w:r>
        <w:rPr>
          <w:rFonts w:hint="eastAsia" w:asciiTheme="minorEastAsia" w:hAnsiTheme="minorEastAsia"/>
          <w:sz w:val="24"/>
        </w:rPr>
        <w:t>面的论文、文章的义务。</w:t>
      </w:r>
    </w:p>
    <w:p>
      <w:pPr>
        <w:spacing w:line="360" w:lineRule="auto"/>
        <w:jc w:val="left"/>
        <w:rPr>
          <w:rFonts w:asciiTheme="minorEastAsia" w:hAnsiTheme="minorEastAsia"/>
          <w:sz w:val="24"/>
        </w:rPr>
      </w:pPr>
      <w:r>
        <w:rPr>
          <w:rFonts w:hint="eastAsia" w:asciiTheme="minorEastAsia" w:hAnsiTheme="minorEastAsia"/>
          <w:sz w:val="24"/>
        </w:rPr>
        <w:t>第二十条 受聘专家有义务无偿参加协会组织的相关工作。</w:t>
      </w:r>
    </w:p>
    <w:p>
      <w:pPr>
        <w:spacing w:line="360" w:lineRule="auto"/>
        <w:ind w:firstLine="280" w:firstLineChars="100"/>
        <w:jc w:val="center"/>
        <w:rPr>
          <w:rFonts w:asciiTheme="minorEastAsia" w:hAnsiTheme="minorEastAsia"/>
          <w:sz w:val="28"/>
          <w:szCs w:val="28"/>
        </w:rPr>
      </w:pPr>
      <w:r>
        <w:rPr>
          <w:rFonts w:hint="eastAsia" w:asciiTheme="minorEastAsia" w:hAnsiTheme="minorEastAsia"/>
          <w:sz w:val="28"/>
          <w:szCs w:val="28"/>
        </w:rPr>
        <w:t>第六章专家委员会咨询或评审工作程序</w:t>
      </w:r>
    </w:p>
    <w:p>
      <w:pPr>
        <w:spacing w:line="360" w:lineRule="auto"/>
        <w:jc w:val="left"/>
        <w:rPr>
          <w:rFonts w:asciiTheme="minorEastAsia" w:hAnsiTheme="minorEastAsia"/>
          <w:sz w:val="24"/>
        </w:rPr>
      </w:pPr>
      <w:r>
        <w:rPr>
          <w:rFonts w:hint="eastAsia" w:asciiTheme="minorEastAsia" w:hAnsiTheme="minorEastAsia"/>
          <w:sz w:val="24"/>
        </w:rPr>
        <w:t>第二十一条 专家委员会根据任务性质及工程特点、规模、重要性，选派相关专</w:t>
      </w:r>
    </w:p>
    <w:p>
      <w:pPr>
        <w:spacing w:line="360" w:lineRule="auto"/>
        <w:jc w:val="left"/>
        <w:rPr>
          <w:rFonts w:asciiTheme="minorEastAsia" w:hAnsiTheme="minorEastAsia"/>
          <w:sz w:val="24"/>
        </w:rPr>
      </w:pPr>
      <w:r>
        <w:rPr>
          <w:rFonts w:hint="eastAsia" w:asciiTheme="minorEastAsia" w:hAnsiTheme="minorEastAsia"/>
          <w:sz w:val="24"/>
        </w:rPr>
        <w:t>家组成负责具体项目咨询的专家小组。</w:t>
      </w:r>
    </w:p>
    <w:p>
      <w:pPr>
        <w:spacing w:line="360" w:lineRule="auto"/>
        <w:jc w:val="left"/>
        <w:rPr>
          <w:rFonts w:asciiTheme="minorEastAsia" w:hAnsiTheme="minorEastAsia"/>
          <w:sz w:val="24"/>
        </w:rPr>
      </w:pPr>
      <w:r>
        <w:rPr>
          <w:rFonts w:hint="eastAsia" w:asciiTheme="minorEastAsia" w:hAnsiTheme="minorEastAsia"/>
          <w:sz w:val="24"/>
        </w:rPr>
        <w:t>第二十二条 为项目咨询或评审的专家小组。一般由3-5名专家组成。其中一位任专家小组组长，负责组织工程项目评议或审查工作，并提交工程审议意见。</w:t>
      </w:r>
    </w:p>
    <w:p>
      <w:pPr>
        <w:spacing w:line="360" w:lineRule="auto"/>
        <w:jc w:val="left"/>
        <w:rPr>
          <w:rFonts w:asciiTheme="minorEastAsia" w:hAnsiTheme="minorEastAsia"/>
          <w:sz w:val="24"/>
        </w:rPr>
      </w:pPr>
      <w:r>
        <w:rPr>
          <w:rFonts w:hint="eastAsia" w:asciiTheme="minorEastAsia" w:hAnsiTheme="minorEastAsia"/>
          <w:sz w:val="24"/>
        </w:rPr>
        <w:t>第二十三条 项目咨询或评审专家小组采取分工合作、民主协商、少数服从多数的方式开展工作。有争议的且涉及原则的问题，可报专家委员会复议。</w:t>
      </w:r>
    </w:p>
    <w:p>
      <w:pPr>
        <w:spacing w:line="360" w:lineRule="auto"/>
        <w:jc w:val="left"/>
        <w:rPr>
          <w:rFonts w:asciiTheme="minorEastAsia" w:hAnsiTheme="minorEastAsia"/>
          <w:sz w:val="24"/>
        </w:rPr>
      </w:pPr>
      <w:r>
        <w:rPr>
          <w:rFonts w:hint="eastAsia" w:asciiTheme="minorEastAsia" w:hAnsiTheme="minorEastAsia"/>
          <w:sz w:val="24"/>
        </w:rPr>
        <w:t>第二十四条 项目咨询或评审专家组应提出工程审议正式意见报告。一式两份，交委托方一份，交专家委员会一份备案。</w:t>
      </w:r>
    </w:p>
    <w:p>
      <w:pPr>
        <w:spacing w:line="360" w:lineRule="auto"/>
        <w:jc w:val="left"/>
        <w:rPr>
          <w:rFonts w:asciiTheme="minorEastAsia" w:hAnsiTheme="minorEastAsia"/>
          <w:sz w:val="24"/>
        </w:rPr>
      </w:pPr>
      <w:r>
        <w:rPr>
          <w:rFonts w:hint="eastAsia" w:asciiTheme="minorEastAsia" w:hAnsiTheme="minorEastAsia"/>
          <w:sz w:val="24"/>
        </w:rPr>
        <w:t>第二十五条 在企业(单位)中担任职务或顾问的专家，在渉及本企业(单位)</w:t>
      </w:r>
    </w:p>
    <w:p>
      <w:pPr>
        <w:spacing w:line="360" w:lineRule="auto"/>
        <w:jc w:val="left"/>
        <w:rPr>
          <w:rFonts w:asciiTheme="minorEastAsia" w:hAnsiTheme="minorEastAsia"/>
          <w:sz w:val="24"/>
        </w:rPr>
      </w:pPr>
      <w:r>
        <w:rPr>
          <w:rFonts w:hint="eastAsia" w:asciiTheme="minorEastAsia" w:hAnsiTheme="minorEastAsia"/>
          <w:sz w:val="24"/>
        </w:rPr>
        <w:t>的工程评审或评标工作中应采取回避制度。</w:t>
      </w:r>
    </w:p>
    <w:p>
      <w:pPr>
        <w:spacing w:line="360" w:lineRule="auto"/>
        <w:jc w:val="center"/>
        <w:rPr>
          <w:rFonts w:asciiTheme="minorEastAsia" w:hAnsiTheme="minorEastAsia"/>
          <w:sz w:val="28"/>
          <w:szCs w:val="28"/>
        </w:rPr>
      </w:pPr>
      <w:r>
        <w:rPr>
          <w:rFonts w:hint="eastAsia" w:asciiTheme="minorEastAsia" w:hAnsiTheme="minorEastAsia"/>
          <w:sz w:val="28"/>
          <w:szCs w:val="28"/>
        </w:rPr>
        <w:t>第七章 附则</w:t>
      </w:r>
    </w:p>
    <w:p>
      <w:pPr>
        <w:spacing w:line="360" w:lineRule="auto"/>
        <w:jc w:val="left"/>
        <w:rPr>
          <w:rFonts w:asciiTheme="minorEastAsia" w:hAnsiTheme="minorEastAsia"/>
          <w:sz w:val="24"/>
        </w:rPr>
      </w:pPr>
      <w:r>
        <w:rPr>
          <w:rFonts w:hint="eastAsia" w:asciiTheme="minorEastAsia" w:hAnsiTheme="minorEastAsia"/>
          <w:sz w:val="24"/>
        </w:rPr>
        <w:t>第二十六条 “专家证书”如遗失、损坏，需提出申请后补发新证，同时在协会</w:t>
      </w:r>
    </w:p>
    <w:p>
      <w:pPr>
        <w:spacing w:line="360" w:lineRule="auto"/>
        <w:jc w:val="left"/>
        <w:rPr>
          <w:rFonts w:asciiTheme="minorEastAsia" w:hAnsiTheme="minorEastAsia"/>
          <w:sz w:val="24"/>
        </w:rPr>
      </w:pPr>
      <w:r>
        <w:rPr>
          <w:rFonts w:hint="eastAsia" w:asciiTheme="minorEastAsia" w:hAnsiTheme="minorEastAsia"/>
          <w:sz w:val="24"/>
        </w:rPr>
        <w:t>网站上公布原证书作废。</w:t>
      </w:r>
    </w:p>
    <w:p>
      <w:pPr>
        <w:spacing w:line="360" w:lineRule="auto"/>
        <w:jc w:val="left"/>
        <w:rPr>
          <w:rFonts w:asciiTheme="minorEastAsia" w:hAnsiTheme="minorEastAsia"/>
          <w:sz w:val="24"/>
        </w:rPr>
      </w:pPr>
      <w:r>
        <w:rPr>
          <w:rFonts w:hint="eastAsia" w:asciiTheme="minorEastAsia" w:hAnsiTheme="minorEastAsia"/>
          <w:sz w:val="24"/>
        </w:rPr>
        <w:t>第二十七条 工程项目咨询、评审的有关费用、专家小组成员的差旅费和技术咨询服务费，均由委托单位支付。</w:t>
      </w:r>
    </w:p>
    <w:p>
      <w:pPr>
        <w:spacing w:line="360" w:lineRule="auto"/>
        <w:jc w:val="left"/>
        <w:rPr>
          <w:rFonts w:asciiTheme="minorEastAsia" w:hAnsiTheme="minorEastAsia"/>
          <w:sz w:val="24"/>
        </w:rPr>
      </w:pPr>
      <w:r>
        <w:rPr>
          <w:rFonts w:hint="eastAsia" w:asciiTheme="minorEastAsia" w:hAnsiTheme="minorEastAsia"/>
          <w:sz w:val="24"/>
        </w:rPr>
        <w:t>第二十八条 本条例经山西省钢结构协会常务理事会批准后实施。</w:t>
      </w:r>
    </w:p>
    <w:p>
      <w:pPr>
        <w:spacing w:line="360" w:lineRule="auto"/>
        <w:jc w:val="left"/>
        <w:rPr>
          <w:sz w:val="28"/>
          <w:szCs w:val="28"/>
        </w:rPr>
      </w:pPr>
      <w:r>
        <w:rPr>
          <w:rFonts w:hint="eastAsia" w:asciiTheme="minorEastAsia" w:hAnsiTheme="minorEastAsia"/>
          <w:sz w:val="24"/>
        </w:rPr>
        <w:t>第二十九条 本条例由山西省钢结构协会负责解释。</w:t>
      </w:r>
    </w:p>
    <w:sectPr>
      <w:pgSz w:w="11906" w:h="16838"/>
      <w:pgMar w:top="1440"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CB0"/>
    <w:rsid w:val="00002616"/>
    <w:rsid w:val="001646C4"/>
    <w:rsid w:val="00194C8F"/>
    <w:rsid w:val="001B5EB4"/>
    <w:rsid w:val="001C2F9A"/>
    <w:rsid w:val="00435F13"/>
    <w:rsid w:val="00456433"/>
    <w:rsid w:val="005C0252"/>
    <w:rsid w:val="005F5FA0"/>
    <w:rsid w:val="008C1147"/>
    <w:rsid w:val="00922F26"/>
    <w:rsid w:val="00B81075"/>
    <w:rsid w:val="00BD6B0D"/>
    <w:rsid w:val="00D772AD"/>
    <w:rsid w:val="00DB51B8"/>
    <w:rsid w:val="00E772CA"/>
    <w:rsid w:val="00EF0CB0"/>
    <w:rsid w:val="00F372B3"/>
    <w:rsid w:val="00F9595F"/>
    <w:rsid w:val="013F0AE1"/>
    <w:rsid w:val="014509FE"/>
    <w:rsid w:val="02A06821"/>
    <w:rsid w:val="02C55CD5"/>
    <w:rsid w:val="03034CEB"/>
    <w:rsid w:val="0475047A"/>
    <w:rsid w:val="05A66760"/>
    <w:rsid w:val="06915594"/>
    <w:rsid w:val="06A2535C"/>
    <w:rsid w:val="06C25292"/>
    <w:rsid w:val="07C725EB"/>
    <w:rsid w:val="0A5E000C"/>
    <w:rsid w:val="0AE40F7D"/>
    <w:rsid w:val="0B131DA6"/>
    <w:rsid w:val="0B587BE8"/>
    <w:rsid w:val="0B5E196D"/>
    <w:rsid w:val="0B901981"/>
    <w:rsid w:val="0B9A3A67"/>
    <w:rsid w:val="0BC952A0"/>
    <w:rsid w:val="0BFA1966"/>
    <w:rsid w:val="0CDB5B41"/>
    <w:rsid w:val="0D5718D6"/>
    <w:rsid w:val="0E7963FF"/>
    <w:rsid w:val="0E9240B4"/>
    <w:rsid w:val="0F3A7A31"/>
    <w:rsid w:val="10921781"/>
    <w:rsid w:val="10F20F9A"/>
    <w:rsid w:val="11596B63"/>
    <w:rsid w:val="11EB0CB0"/>
    <w:rsid w:val="12E55D98"/>
    <w:rsid w:val="13D52210"/>
    <w:rsid w:val="14141D2A"/>
    <w:rsid w:val="14222CE9"/>
    <w:rsid w:val="150C3F2D"/>
    <w:rsid w:val="16331981"/>
    <w:rsid w:val="16551E51"/>
    <w:rsid w:val="16CE0661"/>
    <w:rsid w:val="17BC69F7"/>
    <w:rsid w:val="18C4399A"/>
    <w:rsid w:val="19402CF0"/>
    <w:rsid w:val="1956503D"/>
    <w:rsid w:val="1AA267F6"/>
    <w:rsid w:val="1AF41CA5"/>
    <w:rsid w:val="1B872C26"/>
    <w:rsid w:val="1C9220A8"/>
    <w:rsid w:val="1CD105CE"/>
    <w:rsid w:val="1CE922D7"/>
    <w:rsid w:val="1DA94CF8"/>
    <w:rsid w:val="1E09321B"/>
    <w:rsid w:val="1E106C1E"/>
    <w:rsid w:val="1F7516D5"/>
    <w:rsid w:val="1FCC2782"/>
    <w:rsid w:val="206026CC"/>
    <w:rsid w:val="206A29F5"/>
    <w:rsid w:val="22592E8A"/>
    <w:rsid w:val="22D764CE"/>
    <w:rsid w:val="235D79B3"/>
    <w:rsid w:val="24D51455"/>
    <w:rsid w:val="251B0027"/>
    <w:rsid w:val="276C1E29"/>
    <w:rsid w:val="2785690D"/>
    <w:rsid w:val="28016129"/>
    <w:rsid w:val="283B5854"/>
    <w:rsid w:val="28BD1A94"/>
    <w:rsid w:val="28C66F69"/>
    <w:rsid w:val="29160703"/>
    <w:rsid w:val="29421E45"/>
    <w:rsid w:val="29B84B65"/>
    <w:rsid w:val="29EC3A65"/>
    <w:rsid w:val="2A993BB2"/>
    <w:rsid w:val="2AA01CDF"/>
    <w:rsid w:val="2AC8139B"/>
    <w:rsid w:val="2AE672A4"/>
    <w:rsid w:val="2B9C245E"/>
    <w:rsid w:val="2BC14DE7"/>
    <w:rsid w:val="2BC60DA3"/>
    <w:rsid w:val="2C434BD0"/>
    <w:rsid w:val="2D5416AA"/>
    <w:rsid w:val="2D621C05"/>
    <w:rsid w:val="2DC774A1"/>
    <w:rsid w:val="2EB559B7"/>
    <w:rsid w:val="2EB57D9F"/>
    <w:rsid w:val="2F6634DB"/>
    <w:rsid w:val="2FFB602A"/>
    <w:rsid w:val="30A720FA"/>
    <w:rsid w:val="30EF5AB5"/>
    <w:rsid w:val="311D015B"/>
    <w:rsid w:val="317A09F6"/>
    <w:rsid w:val="320C094E"/>
    <w:rsid w:val="32362ADD"/>
    <w:rsid w:val="326B03BF"/>
    <w:rsid w:val="33374A1B"/>
    <w:rsid w:val="33D60378"/>
    <w:rsid w:val="35A43127"/>
    <w:rsid w:val="35E10BDF"/>
    <w:rsid w:val="36EE46B0"/>
    <w:rsid w:val="370F3972"/>
    <w:rsid w:val="37307973"/>
    <w:rsid w:val="38CA3E84"/>
    <w:rsid w:val="39180BBD"/>
    <w:rsid w:val="39744EF5"/>
    <w:rsid w:val="39A91F6F"/>
    <w:rsid w:val="3A191ECF"/>
    <w:rsid w:val="3A284885"/>
    <w:rsid w:val="3ACD406F"/>
    <w:rsid w:val="3D0061E3"/>
    <w:rsid w:val="3D0172D3"/>
    <w:rsid w:val="3D422E9B"/>
    <w:rsid w:val="3EA32DBA"/>
    <w:rsid w:val="3F752909"/>
    <w:rsid w:val="3FEB67E4"/>
    <w:rsid w:val="3FF20063"/>
    <w:rsid w:val="40432E9D"/>
    <w:rsid w:val="409C4184"/>
    <w:rsid w:val="414824D1"/>
    <w:rsid w:val="41A57A75"/>
    <w:rsid w:val="41D61D4C"/>
    <w:rsid w:val="41EB32FE"/>
    <w:rsid w:val="4204118D"/>
    <w:rsid w:val="42681E37"/>
    <w:rsid w:val="432B38E9"/>
    <w:rsid w:val="4355186C"/>
    <w:rsid w:val="438C3A72"/>
    <w:rsid w:val="43917A00"/>
    <w:rsid w:val="43A7152C"/>
    <w:rsid w:val="43EB5F2B"/>
    <w:rsid w:val="44444621"/>
    <w:rsid w:val="454873E3"/>
    <w:rsid w:val="45DA013E"/>
    <w:rsid w:val="45E57249"/>
    <w:rsid w:val="46330303"/>
    <w:rsid w:val="46A6466F"/>
    <w:rsid w:val="478111C9"/>
    <w:rsid w:val="47B42DDD"/>
    <w:rsid w:val="47B75C38"/>
    <w:rsid w:val="48760F06"/>
    <w:rsid w:val="48BC06B8"/>
    <w:rsid w:val="493E329F"/>
    <w:rsid w:val="495B447D"/>
    <w:rsid w:val="495C445B"/>
    <w:rsid w:val="496E49FD"/>
    <w:rsid w:val="49865564"/>
    <w:rsid w:val="49B93E94"/>
    <w:rsid w:val="49DF066D"/>
    <w:rsid w:val="4A0167D8"/>
    <w:rsid w:val="4A9A6A15"/>
    <w:rsid w:val="4AF81276"/>
    <w:rsid w:val="4BDD3F03"/>
    <w:rsid w:val="4C165D70"/>
    <w:rsid w:val="4C862103"/>
    <w:rsid w:val="4D257058"/>
    <w:rsid w:val="4D274FF5"/>
    <w:rsid w:val="4D281B2B"/>
    <w:rsid w:val="4E4A3E60"/>
    <w:rsid w:val="4EB85451"/>
    <w:rsid w:val="4EBD228E"/>
    <w:rsid w:val="4F5648A8"/>
    <w:rsid w:val="4F966801"/>
    <w:rsid w:val="504B05C0"/>
    <w:rsid w:val="507F1B2A"/>
    <w:rsid w:val="51190650"/>
    <w:rsid w:val="519825B4"/>
    <w:rsid w:val="52055FD4"/>
    <w:rsid w:val="520E0825"/>
    <w:rsid w:val="52126B88"/>
    <w:rsid w:val="526C44AB"/>
    <w:rsid w:val="52DD47BD"/>
    <w:rsid w:val="54CB7358"/>
    <w:rsid w:val="56AE704F"/>
    <w:rsid w:val="56DD217E"/>
    <w:rsid w:val="57F124A1"/>
    <w:rsid w:val="58576928"/>
    <w:rsid w:val="58826A67"/>
    <w:rsid w:val="599F7D7A"/>
    <w:rsid w:val="59BB7D8C"/>
    <w:rsid w:val="59E14E2E"/>
    <w:rsid w:val="5ACA71C2"/>
    <w:rsid w:val="5B713782"/>
    <w:rsid w:val="5BBD1C60"/>
    <w:rsid w:val="5D17228D"/>
    <w:rsid w:val="5D3C0C2E"/>
    <w:rsid w:val="5D4373C2"/>
    <w:rsid w:val="5D45580E"/>
    <w:rsid w:val="5D59290A"/>
    <w:rsid w:val="5D5A453E"/>
    <w:rsid w:val="5D813889"/>
    <w:rsid w:val="5EC13C75"/>
    <w:rsid w:val="5ED42FE3"/>
    <w:rsid w:val="5F584B24"/>
    <w:rsid w:val="61F361E9"/>
    <w:rsid w:val="622B5D8F"/>
    <w:rsid w:val="624157A0"/>
    <w:rsid w:val="62456C56"/>
    <w:rsid w:val="62D31734"/>
    <w:rsid w:val="6563371D"/>
    <w:rsid w:val="657B399A"/>
    <w:rsid w:val="65A73AD8"/>
    <w:rsid w:val="65B2272F"/>
    <w:rsid w:val="65F01713"/>
    <w:rsid w:val="66025A11"/>
    <w:rsid w:val="661A664E"/>
    <w:rsid w:val="66357BFE"/>
    <w:rsid w:val="670134EC"/>
    <w:rsid w:val="67053247"/>
    <w:rsid w:val="672B488E"/>
    <w:rsid w:val="6784098A"/>
    <w:rsid w:val="67C963B4"/>
    <w:rsid w:val="67F705CF"/>
    <w:rsid w:val="68AC5C7E"/>
    <w:rsid w:val="6AAB1A1A"/>
    <w:rsid w:val="6AAE5ED9"/>
    <w:rsid w:val="6AAF1124"/>
    <w:rsid w:val="6B5B0AEC"/>
    <w:rsid w:val="6B810598"/>
    <w:rsid w:val="6BEF272C"/>
    <w:rsid w:val="6C0B75E7"/>
    <w:rsid w:val="6D7C7E63"/>
    <w:rsid w:val="6F164358"/>
    <w:rsid w:val="6F6E7FB1"/>
    <w:rsid w:val="6FA20AEB"/>
    <w:rsid w:val="704D0727"/>
    <w:rsid w:val="70C079FD"/>
    <w:rsid w:val="715D62C9"/>
    <w:rsid w:val="7194211D"/>
    <w:rsid w:val="720419C8"/>
    <w:rsid w:val="72196096"/>
    <w:rsid w:val="74567085"/>
    <w:rsid w:val="75305635"/>
    <w:rsid w:val="75E34A3A"/>
    <w:rsid w:val="76A64384"/>
    <w:rsid w:val="76EF3AB2"/>
    <w:rsid w:val="778B6E8A"/>
    <w:rsid w:val="78CC067A"/>
    <w:rsid w:val="78DC31C2"/>
    <w:rsid w:val="78F20497"/>
    <w:rsid w:val="7910279F"/>
    <w:rsid w:val="79CC5D8E"/>
    <w:rsid w:val="7B1455B4"/>
    <w:rsid w:val="7B867B3A"/>
    <w:rsid w:val="7DF92544"/>
    <w:rsid w:val="7E6B2F12"/>
    <w:rsid w:val="7EB04673"/>
    <w:rsid w:val="7EF41D7A"/>
    <w:rsid w:val="7F305509"/>
    <w:rsid w:val="7F750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60"/>
      <w:ind w:left="220"/>
    </w:pPr>
    <w:rPr>
      <w:rFonts w:ascii="宋体" w:hAnsi="宋体" w:eastAsia="宋体" w:cs="宋体"/>
      <w:sz w:val="24"/>
      <w:lang w:val="zh-CN" w:bidi="zh-CN"/>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0"/>
    <w:basedOn w:val="1"/>
    <w:qFormat/>
    <w:uiPriority w:val="0"/>
    <w:pPr>
      <w:widowControl/>
    </w:pPr>
    <w:rPr>
      <w:kern w:val="0"/>
      <w:szCs w:val="21"/>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3887</Words>
  <Characters>4537</Characters>
  <Lines>36</Lines>
  <Paragraphs>10</Paragraphs>
  <TotalTime>0</TotalTime>
  <ScaleCrop>false</ScaleCrop>
  <LinksUpToDate>false</LinksUpToDate>
  <CharactersWithSpaces>4683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木易 木木</cp:lastModifiedBy>
  <cp:lastPrinted>2020-11-04T02:17:00Z</cp:lastPrinted>
  <dcterms:modified xsi:type="dcterms:W3CDTF">2022-01-12T01:05:05Z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FF5B2623F5BC4783A31280FE95876E68</vt:lpwstr>
  </property>
</Properties>
</file>